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bidi="ar-SA"/>
        </w:rPr>
      </w:pPr>
      <w:r>
        <w:rPr>
          <w:rFonts w:hint="eastAsia" w:ascii="Times New Roman" w:hAnsi="Times New Roman" w:eastAsia="方正小标宋_GBK" w:cs="Times New Roman"/>
          <w:sz w:val="48"/>
          <w:szCs w:val="48"/>
          <w:rtl w:val="0"/>
          <w:lang w:val="en-US" w:eastAsia="zh-CN" w:bidi="ar-SA"/>
        </w:rPr>
        <w:t>乌什县</w:t>
      </w:r>
      <w:r>
        <w:rPr>
          <w:rFonts w:hint="default" w:ascii="Times New Roman" w:hAnsi="Times New Roman" w:eastAsia="方正小标宋_GBK" w:cs="Times New Roman"/>
          <w:sz w:val="48"/>
          <w:szCs w:val="48"/>
          <w:rtl/>
          <w:lang w:val="en-US" w:eastAsia="en-US" w:bidi="ar-SA"/>
        </w:rPr>
        <w:t>202</w:t>
      </w:r>
      <w:r>
        <w:rPr>
          <w:rFonts w:hint="eastAsia" w:ascii="Times New Roman" w:hAnsi="Times New Roman" w:eastAsia="方正小标宋_GBK" w:cs="Times New Roman"/>
          <w:sz w:val="48"/>
          <w:szCs w:val="48"/>
          <w:rtl w:val="0"/>
          <w:lang w:val="en-US" w:eastAsia="zh-CN" w:bidi="ar-SA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52"/>
          <w:lang w:bidi="ar-SA"/>
        </w:rPr>
        <w:t>年农机</w:t>
      </w:r>
      <w:r>
        <w:rPr>
          <w:rFonts w:hint="default" w:ascii="Times New Roman" w:hAnsi="Times New Roman" w:eastAsia="方正小标宋_GBK" w:cs="Times New Roman"/>
          <w:sz w:val="44"/>
          <w:szCs w:val="52"/>
          <w:lang w:eastAsia="zh-CN" w:bidi="ar-SA"/>
        </w:rPr>
        <w:t>报废更新</w:t>
      </w:r>
      <w:r>
        <w:rPr>
          <w:rFonts w:hint="default" w:ascii="Times New Roman" w:hAnsi="Times New Roman" w:eastAsia="方正小标宋_GBK" w:cs="Times New Roman"/>
          <w:sz w:val="44"/>
          <w:szCs w:val="52"/>
          <w:lang w:bidi="ar-SA"/>
        </w:rPr>
        <w:t>补贴实施情况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bidi="ar-SA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bidi="ar-SA"/>
        </w:rPr>
      </w:pPr>
    </w:p>
    <w:p>
      <w:pPr>
        <w:spacing w:line="560" w:lineRule="exact"/>
        <w:jc w:val="both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乌什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县严格按照乌农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字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关于印发《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乌什县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年农机购置与应用补贴实施方案》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的通知精神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，以推进农业机械化转型升级和高质量发展为目标，以优化农机装备结构、促进节能环保、保障安全生产为核心，精心组织，规范实施，扎实推进农机报废更新补贴工作，取得了显著成效。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部门协作紧密高效。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县农业农村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机械化发展中心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作为牵头单位，与财政、乡镇等相关部门建立了顺畅的沟通协调机制。定期召开联席会议，及时解决工作中出现的困难和问题，形成了工作合力，保障了补贴资金能够及时、准确、安全地发放到农户手中。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）资金规模与执行进度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乌什县共争取中央及自治区农机购置与应用补贴资金875万元，其中用于开展农机购置补贴资金857.514万元，按照农机购置补贴 “自主购机、定额补贴、先购后补、县级结算、直补到卡（户）”方式要求，补贴各类补贴农机具623台，受益户485户。用于报废农机补贴资金17.48万元，补贴各类机具67台，受益户67户。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3E6F"/>
    <w:rsid w:val="064E2ED3"/>
    <w:rsid w:val="06D354DC"/>
    <w:rsid w:val="0EC3164A"/>
    <w:rsid w:val="50997464"/>
    <w:rsid w:val="582868CB"/>
    <w:rsid w:val="6494552B"/>
    <w:rsid w:val="75FD3E6F"/>
    <w:rsid w:val="7C7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559</Characters>
  <Lines>0</Lines>
  <Paragraphs>0</Paragraphs>
  <TotalTime>1</TotalTime>
  <ScaleCrop>false</ScaleCrop>
  <LinksUpToDate>false</LinksUpToDate>
  <CharactersWithSpaces>563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2026-01-04T08:46:00Z</dcterms:created>
  <dc:creator>Administrator</dc:creator>
  <cp:lastModifiedBy>Administrator</cp:lastModifiedBy>
  <dcterms:modified xsi:type="dcterms:W3CDTF">2026-04-02T04:49:45Z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0E3F13BD9CD2457684340CC9F4B32A5A_13</vt:lpwstr>
  </property>
  <property fmtid="{D5CDD505-2E9C-101B-9397-08002B2CF9AE}" pid="4" name="KSOTemplateDocerSaveRecord">
    <vt:lpwstr>eyJoZGlkIjoiNWRiNjZkNTllYTIwZGFlMWJmMzE2Y2FhOWViYjk4YzYifQ==</vt:lpwstr>
  </property>
</Properties>
</file>