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 w:eastAsia="zh-CN"/>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-973455</wp:posOffset>
            </wp:positionH>
            <wp:positionV relativeFrom="paragraph">
              <wp:posOffset>-909320</wp:posOffset>
            </wp:positionV>
            <wp:extent cx="7564120" cy="10695305"/>
            <wp:effectExtent l="0" t="0" r="17780" b="10795"/>
            <wp:wrapNone/>
            <wp:docPr id="1" name="图片 1" descr="农业农村厅函"/>
            <wp:cNvGraphicFramePr/>
            <a:graphic xmlns:a="http://schemas.openxmlformats.org/drawingml/2006/main">
              <a:graphicData uri="http://schemas.openxmlformats.org/drawingml/2006/picture">
                <pic:pic xmlns:pic="http://schemas.openxmlformats.org/drawingml/2006/picture">
                  <pic:nvPicPr>
                    <pic:cNvPr id="1" name="图片 1" descr="农业农村厅函"/>
                    <pic:cNvPicPr/>
                  </pic:nvPicPr>
                  <pic:blipFill>
                    <a:blip r:embed="rId5"/>
                    <a:stretch>
                      <a:fillRect/>
                    </a:stretch>
                  </pic:blipFill>
                  <pic:spPr>
                    <a:xfrm>
                      <a:off x="0" y="0"/>
                      <a:ext cx="7564120" cy="10695305"/>
                    </a:xfrm>
                    <a:prstGeom prst="rect">
                      <a:avLst/>
                    </a:prstGeom>
                  </pic:spPr>
                </pic:pic>
              </a:graphicData>
            </a:graphic>
          </wp:anchor>
        </w:drawing>
      </w: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rPr>
          <w:rFonts w:hint="default"/>
          <w:lang w:val="en" w:eastAsia="zh-CN"/>
        </w:rPr>
      </w:pPr>
    </w:p>
    <w:p>
      <w:pPr>
        <w:wordWrap/>
        <w:ind w:firstLine="3840" w:firstLineChars="1200"/>
        <w:jc w:val="right"/>
        <w:rPr>
          <w:rFonts w:hint="default" w:ascii="仿宋_GB2312" w:hAnsi="仿宋_GB2312" w:eastAsia="仿宋_GB2312" w:cs="仿宋_GB2312"/>
          <w:spacing w:val="0"/>
          <w:sz w:val="32"/>
          <w:szCs w:val="32"/>
          <w:lang w:val="en" w:eastAsia="zh-CN"/>
        </w:rPr>
      </w:pPr>
      <w:bookmarkStart w:id="0" w:name="strDocNoName"/>
      <w:bookmarkStart w:id="1" w:name="docnum"/>
      <w:r>
        <w:rPr>
          <w:rFonts w:hint="eastAsia" w:ascii="仿宋_GB2312" w:eastAsia="仿宋_GB2312"/>
          <w:sz w:val="32"/>
          <w:lang w:val="en-US" w:eastAsia="zh-CN"/>
        </w:rPr>
        <w:t>新农机</w:t>
      </w:r>
      <w:bookmarkEnd w:id="0"/>
      <w:r>
        <w:rPr>
          <w:rFonts w:hint="eastAsia" w:ascii="仿宋_GB2312" w:eastAsia="仿宋_GB2312"/>
          <w:sz w:val="32"/>
          <w:lang w:val="en-US" w:eastAsia="zh-CN"/>
        </w:rPr>
        <w:t>函〔</w:t>
      </w:r>
      <w:bookmarkStart w:id="2" w:name="strYear"/>
      <w:r>
        <w:rPr>
          <w:rFonts w:hint="eastAsia" w:ascii="仿宋_GB2312" w:eastAsia="仿宋_GB2312"/>
          <w:sz w:val="32"/>
          <w:lang w:eastAsia="zh-CN"/>
        </w:rPr>
        <w:t>2021</w:t>
      </w:r>
      <w:bookmarkEnd w:id="2"/>
      <w:r>
        <w:rPr>
          <w:rFonts w:hint="eastAsia" w:ascii="仿宋_GB2312" w:eastAsia="仿宋_GB2312"/>
          <w:sz w:val="32"/>
          <w:lang w:val="en-US" w:eastAsia="zh-CN"/>
        </w:rPr>
        <w:t>〕</w:t>
      </w:r>
      <w:bookmarkStart w:id="3" w:name="intNo"/>
      <w:r>
        <w:rPr>
          <w:rFonts w:hint="eastAsia" w:ascii="仿宋_GB2312" w:eastAsia="仿宋_GB2312"/>
          <w:sz w:val="32"/>
          <w:lang w:val="en-US" w:eastAsia="zh-CN"/>
        </w:rPr>
        <w:t>1010</w:t>
      </w:r>
      <w:bookmarkEnd w:id="3"/>
      <w:r>
        <w:rPr>
          <w:rFonts w:hint="eastAsia" w:ascii="仿宋_GB2312" w:hAnsi="仿宋_GB2312" w:eastAsia="仿宋_GB2312" w:cs="仿宋_GB2312"/>
          <w:spacing w:val="0"/>
          <w:sz w:val="32"/>
          <w:szCs w:val="32"/>
          <w:lang w:eastAsia="zh-CN"/>
        </w:rPr>
        <w:t>号</w:t>
      </w:r>
      <w:bookmarkEnd w:id="1"/>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ascii="仿宋_GB2312" w:hAnsi="仿宋_GB2312" w:eastAsia="仿宋_GB2312" w:cs="仿宋_GB2312"/>
          <w:spacing w:val="0"/>
          <w:sz w:val="32"/>
          <w:szCs w:val="32"/>
          <w:lang w:eastAsia="zh-CN"/>
        </w:rPr>
      </w:pP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jc w:val="center"/>
        <w:textAlignment w:val="auto"/>
        <w:outlineLvl w:val="9"/>
        <w:rPr>
          <w:rStyle w:val="9"/>
          <w:rFonts w:hint="eastAsia" w:ascii="方正小标宋简体" w:hAnsi="方正小标宋简体" w:eastAsia="方正小标宋简体" w:cs="方正小标宋简体"/>
          <w:b w:val="0"/>
          <w:bCs/>
          <w:color w:val="auto"/>
          <w:sz w:val="44"/>
          <w:szCs w:val="44"/>
          <w:lang w:eastAsia="zh-CN"/>
        </w:rPr>
      </w:pPr>
      <w:bookmarkStart w:id="4" w:name="_GoBack"/>
      <w:r>
        <w:rPr>
          <w:rStyle w:val="9"/>
          <w:rFonts w:hint="eastAsia" w:ascii="方正小标宋简体" w:hAnsi="方正小标宋简体" w:eastAsia="方正小标宋简体" w:cs="方正小标宋简体"/>
          <w:b w:val="0"/>
          <w:bCs/>
          <w:color w:val="auto"/>
          <w:sz w:val="44"/>
          <w:szCs w:val="44"/>
          <w:lang w:eastAsia="zh-CN"/>
        </w:rPr>
        <w:t>关于做好农机购置补贴异常情形报告</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jc w:val="center"/>
        <w:textAlignment w:val="auto"/>
        <w:outlineLvl w:val="9"/>
        <w:rPr>
          <w:rStyle w:val="9"/>
          <w:rFonts w:hint="eastAsia" w:ascii="方正小标宋简体" w:hAnsi="方正小标宋简体" w:eastAsia="方正小标宋简体" w:cs="方正小标宋简体"/>
          <w:b w:val="0"/>
          <w:bCs/>
          <w:color w:val="auto"/>
          <w:sz w:val="44"/>
          <w:szCs w:val="44"/>
          <w:lang w:eastAsia="zh-CN"/>
        </w:rPr>
      </w:pPr>
      <w:r>
        <w:rPr>
          <w:rStyle w:val="9"/>
          <w:rFonts w:hint="eastAsia" w:ascii="方正小标宋简体" w:hAnsi="方正小标宋简体" w:eastAsia="方正小标宋简体" w:cs="方正小标宋简体"/>
          <w:b w:val="0"/>
          <w:bCs/>
          <w:color w:val="auto"/>
          <w:sz w:val="44"/>
          <w:szCs w:val="44"/>
          <w:lang w:eastAsia="zh-CN"/>
        </w:rPr>
        <w:t>工作的通知</w:t>
      </w:r>
    </w:p>
    <w:bookmarkEnd w:id="4"/>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jc w:val="both"/>
        <w:textAlignment w:val="auto"/>
        <w:outlineLvl w:val="9"/>
        <w:rPr>
          <w:rStyle w:val="9"/>
          <w:rFonts w:hint="eastAsia" w:ascii="仿宋_GB2312" w:hAnsi="仿宋_GB2312" w:eastAsia="仿宋_GB2312" w:cs="仿宋_GB2312"/>
          <w:b w:val="0"/>
          <w:bCs/>
          <w:color w:val="auto"/>
          <w:sz w:val="32"/>
          <w:szCs w:val="32"/>
          <w:lang w:eastAsia="zh-CN"/>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jc w:val="both"/>
        <w:textAlignment w:val="auto"/>
        <w:outlineLvl w:val="9"/>
        <w:rPr>
          <w:rStyle w:val="9"/>
          <w:rFonts w:hint="eastAsia" w:ascii="仿宋_GB2312" w:hAnsi="仿宋_GB2312" w:eastAsia="仿宋_GB2312" w:cs="仿宋_GB2312"/>
          <w:b w:val="0"/>
          <w:bCs/>
          <w:color w:val="auto"/>
          <w:sz w:val="32"/>
          <w:szCs w:val="32"/>
          <w:lang w:eastAsia="zh-CN"/>
        </w:rPr>
      </w:pPr>
      <w:r>
        <w:rPr>
          <w:rStyle w:val="9"/>
          <w:rFonts w:hint="eastAsia" w:ascii="仿宋_GB2312" w:hAnsi="仿宋_GB2312" w:eastAsia="仿宋_GB2312" w:cs="仿宋_GB2312"/>
          <w:b w:val="0"/>
          <w:bCs/>
          <w:color w:val="auto"/>
          <w:sz w:val="32"/>
          <w:szCs w:val="32"/>
          <w:lang w:eastAsia="zh-CN"/>
        </w:rPr>
        <w:t>伊犁哈萨克自治区农业农村局，各地（州、市）农业农村局（农机化发展中心）：</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根据农机购置补贴政策实施有关文件精神，为进一步规范农机购置补贴政策实施，及时处置</w:t>
      </w:r>
      <w:r>
        <w:rPr>
          <w:rFonts w:hint="eastAsia" w:ascii="仿宋_GB2312" w:hAnsi="仿宋_GB2312" w:eastAsia="仿宋_GB2312" w:cs="仿宋_GB2312"/>
          <w:color w:val="auto"/>
          <w:sz w:val="32"/>
          <w:szCs w:val="32"/>
        </w:rPr>
        <w:t>农机购置补贴政策实施过程中发生的异常情形，有效防范风险，规范、廉洁、高效实施补贴政策，保障补贴资金安全，</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现就有关事宜通知如下:</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异常情形的报告范围</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机具投档</w:t>
      </w:r>
      <w:r>
        <w:rPr>
          <w:rFonts w:hint="eastAsia" w:ascii="仿宋_GB2312" w:hAnsi="仿宋_GB2312" w:eastAsia="仿宋_GB2312" w:cs="仿宋_GB2312"/>
          <w:color w:val="auto"/>
          <w:sz w:val="32"/>
          <w:szCs w:val="32"/>
          <w:lang w:eastAsia="zh-CN"/>
        </w:rPr>
        <w:t>归档</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eastAsia="zh-CN"/>
        </w:rPr>
        <w:t>产品信息上传补贴申办服务系统、补贴机具经营、补贴</w:t>
      </w:r>
      <w:r>
        <w:rPr>
          <w:rFonts w:hint="eastAsia" w:ascii="仿宋_GB2312" w:hAnsi="仿宋_GB2312" w:eastAsia="仿宋_GB2312" w:cs="仿宋_GB2312"/>
          <w:color w:val="auto"/>
          <w:sz w:val="32"/>
          <w:szCs w:val="32"/>
        </w:rPr>
        <w:t>机具核验和违规处理等农机购置补贴政策关键环节实施过程中发生或发现的异常情形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应及时报告，主要包括以下内容：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（一）机具投档环节</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列入全国农机购置补贴黑名单数据库的生产企业、法定代表人、主要从业人员及机具参与投档的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列入全国农机购置补贴违规通报数据库且尚未恢复或已取消补贴资格的机具参与投档的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国家产品质量监督抽查或市场质量监督检查中不合格的机具参与投档的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不在我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补贴范围内的机具参与投档的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资质到期未续</w:t>
      </w:r>
      <w:r>
        <w:rPr>
          <w:rFonts w:hint="eastAsia" w:ascii="仿宋_GB2312" w:hAnsi="仿宋_GB2312" w:eastAsia="仿宋_GB2312" w:cs="仿宋_GB2312"/>
          <w:color w:val="auto"/>
          <w:sz w:val="32"/>
          <w:szCs w:val="32"/>
          <w:shd w:val="clear" w:color="auto" w:fill="auto"/>
        </w:rPr>
        <w:t>展</w:t>
      </w:r>
      <w:r>
        <w:rPr>
          <w:rFonts w:hint="eastAsia" w:ascii="仿宋_GB2312" w:hAnsi="仿宋_GB2312" w:eastAsia="仿宋_GB2312" w:cs="仿宋_GB2312"/>
          <w:color w:val="auto"/>
          <w:sz w:val="32"/>
          <w:szCs w:val="32"/>
        </w:rPr>
        <w:t>机具参与投档的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不符合资质要求机具参与投档的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补贴额比例超过投档系统设定的预警比例的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投档机具参数不符合我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发布的相关档次参数的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投档机具有涉嫌违规的有关举报、投诉的。</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（二）补贴机具核验环节</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销售的补贴产品</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投档产品</w:t>
      </w:r>
      <w:r>
        <w:rPr>
          <w:rFonts w:hint="eastAsia" w:ascii="仿宋_GB2312" w:hAnsi="仿宋_GB2312" w:eastAsia="仿宋_GB2312" w:cs="仿宋_GB2312"/>
          <w:color w:val="auto"/>
          <w:sz w:val="32"/>
          <w:szCs w:val="32"/>
        </w:rPr>
        <w:t>不一致的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购机发票金额与实际销售金额不一致的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机具铭牌信息、实物信息与农机购置补贴</w:t>
      </w:r>
      <w:r>
        <w:rPr>
          <w:rFonts w:hint="eastAsia" w:ascii="仿宋_GB2312" w:hAnsi="仿宋_GB2312" w:eastAsia="仿宋_GB2312" w:cs="仿宋_GB2312"/>
          <w:color w:val="auto"/>
          <w:sz w:val="32"/>
          <w:szCs w:val="32"/>
          <w:lang w:eastAsia="zh-CN"/>
        </w:rPr>
        <w:t>申请办理服务</w:t>
      </w:r>
      <w:r>
        <w:rPr>
          <w:rFonts w:hint="eastAsia" w:ascii="仿宋_GB2312" w:hAnsi="仿宋_GB2312" w:eastAsia="仿宋_GB2312" w:cs="仿宋_GB2312"/>
          <w:color w:val="auto"/>
          <w:sz w:val="32"/>
          <w:szCs w:val="32"/>
        </w:rPr>
        <w:t>系统所对应机具的信息不一致的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机具铭牌、出厂编号非唯一或不符合要求的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违反农机产品“三包”规定，不积极处置引起投诉</w:t>
      </w:r>
      <w:r>
        <w:rPr>
          <w:rFonts w:hint="eastAsia" w:ascii="仿宋_GB2312" w:hAnsi="仿宋_GB2312" w:eastAsia="仿宋_GB2312" w:cs="仿宋_GB2312"/>
          <w:color w:val="auto"/>
          <w:sz w:val="32"/>
          <w:szCs w:val="32"/>
          <w:lang w:eastAsia="zh-CN"/>
        </w:rPr>
        <w:t>的；</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单人多台套申请补贴的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短期内大批量申请补贴的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区域适应性差</w:t>
      </w:r>
      <w:r>
        <w:rPr>
          <w:rFonts w:hint="eastAsia" w:ascii="仿宋_GB2312" w:hAnsi="仿宋_GB2312" w:eastAsia="仿宋_GB2312" w:cs="仿宋_GB2312"/>
          <w:color w:val="auto"/>
          <w:sz w:val="32"/>
          <w:szCs w:val="32"/>
          <w:lang w:eastAsia="zh-CN"/>
        </w:rPr>
        <w:t>、作业量少</w:t>
      </w:r>
      <w:r>
        <w:rPr>
          <w:rFonts w:hint="eastAsia" w:ascii="仿宋_GB2312" w:hAnsi="仿宋_GB2312" w:eastAsia="仿宋_GB2312" w:cs="仿宋_GB2312"/>
          <w:color w:val="auto"/>
          <w:sz w:val="32"/>
          <w:szCs w:val="32"/>
        </w:rPr>
        <w:t>的机具申请补贴的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实际补贴比例明显偏高的。</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（三）违规处理环节</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调查核实</w:t>
      </w:r>
      <w:r>
        <w:rPr>
          <w:rFonts w:hint="eastAsia" w:ascii="仿宋_GB2312" w:hAnsi="仿宋_GB2312" w:eastAsia="仿宋_GB2312" w:cs="仿宋_GB2312"/>
          <w:color w:val="auto"/>
          <w:sz w:val="32"/>
          <w:szCs w:val="32"/>
          <w:lang w:eastAsia="zh-CN"/>
        </w:rPr>
        <w:t>，确认</w:t>
      </w:r>
      <w:r>
        <w:rPr>
          <w:rFonts w:hint="eastAsia" w:ascii="仿宋_GB2312" w:hAnsi="仿宋_GB2312" w:eastAsia="仿宋_GB2312" w:cs="仿宋_GB2312"/>
          <w:color w:val="auto"/>
          <w:sz w:val="32"/>
          <w:szCs w:val="32"/>
        </w:rPr>
        <w:t>有违规行为的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调查核实或</w:t>
      </w:r>
      <w:r>
        <w:rPr>
          <w:rFonts w:hint="eastAsia" w:ascii="仿宋_GB2312" w:hAnsi="仿宋_GB2312" w:eastAsia="仿宋_GB2312" w:cs="仿宋_GB2312"/>
          <w:color w:val="auto"/>
          <w:sz w:val="32"/>
          <w:szCs w:val="32"/>
        </w:rPr>
        <w:t>约谈过程中不配合的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违规产品有严重质量问题的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相关企业和人员无法联系的。</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（四）可能影响补贴政策规范实施的产品鉴定（认证）等其他异常情形</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异常情形</w:t>
      </w:r>
      <w:r>
        <w:rPr>
          <w:rFonts w:hint="default" w:ascii="Times New Roman" w:hAnsi="Times New Roman" w:eastAsia="黑体" w:cs="Times New Roman"/>
          <w:color w:val="auto"/>
          <w:sz w:val="32"/>
          <w:szCs w:val="32"/>
          <w:lang w:eastAsia="zh-CN"/>
        </w:rPr>
        <w:t>的</w:t>
      </w:r>
      <w:r>
        <w:rPr>
          <w:rFonts w:hint="default" w:ascii="Times New Roman" w:hAnsi="Times New Roman" w:eastAsia="黑体" w:cs="Times New Roman"/>
          <w:color w:val="auto"/>
          <w:sz w:val="32"/>
          <w:szCs w:val="32"/>
        </w:rPr>
        <w:t>报告和调查</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（一）异常情形报告采用书面方式，逐级上报。</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（二）各级农业农村部门对发现或受理的异常情形线索报告，</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认真及时组织调查核实</w:t>
      </w:r>
      <w:r>
        <w:rPr>
          <w:rFonts w:hint="default" w:ascii="Times New Roman" w:hAnsi="Times New Roman" w:eastAsia="仿宋_GB2312" w:cs="Times New Roman"/>
          <w:color w:val="auto"/>
          <w:sz w:val="32"/>
          <w:szCs w:val="32"/>
          <w:lang w:eastAsia="zh-CN"/>
        </w:rPr>
        <w:t>，客观公正形成异常情形报告。</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农业农村部门发现</w:t>
      </w:r>
      <w:r>
        <w:rPr>
          <w:rFonts w:hint="default" w:ascii="Times New Roman" w:hAnsi="Times New Roman" w:eastAsia="仿宋_GB2312" w:cs="Times New Roman"/>
          <w:color w:val="auto"/>
          <w:sz w:val="32"/>
          <w:szCs w:val="32"/>
          <w:lang w:eastAsia="zh-CN"/>
        </w:rPr>
        <w:t>或受理的</w:t>
      </w:r>
      <w:r>
        <w:rPr>
          <w:rFonts w:hint="default" w:ascii="Times New Roman" w:hAnsi="Times New Roman" w:eastAsia="仿宋_GB2312" w:cs="Times New Roman"/>
          <w:color w:val="auto"/>
          <w:sz w:val="32"/>
          <w:szCs w:val="32"/>
        </w:rPr>
        <w:t>涉及全局性、系统性风险</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异常情形，及时向农业农村部农机化司报告。</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异常情形违规行为处理</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调查核实</w:t>
      </w:r>
      <w:r>
        <w:rPr>
          <w:rFonts w:hint="default" w:ascii="Times New Roman" w:hAnsi="Times New Roman" w:eastAsia="仿宋_GB2312" w:cs="Times New Roman"/>
          <w:color w:val="auto"/>
          <w:sz w:val="32"/>
          <w:szCs w:val="32"/>
          <w:lang w:eastAsia="zh-CN"/>
        </w:rPr>
        <w:t>，确认</w:t>
      </w:r>
      <w:r>
        <w:rPr>
          <w:rFonts w:hint="default" w:ascii="Times New Roman" w:hAnsi="Times New Roman" w:eastAsia="仿宋_GB2312" w:cs="Times New Roman"/>
          <w:color w:val="auto"/>
          <w:sz w:val="32"/>
          <w:szCs w:val="32"/>
        </w:rPr>
        <w:t>异常情形涉及违规的，</w:t>
      </w: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依据《农业机械购置补贴产品违规经营行为处理办法（试行）》（农办财〔2017〕26号）、《关于进一步加强农机购置补贴政策监管强化纪律约束的通知》（农办机〔2019〕6号）和《</w:t>
      </w:r>
      <w:r>
        <w:rPr>
          <w:rFonts w:hint="default" w:ascii="Times New Roman" w:hAnsi="Times New Roman" w:eastAsia="仿宋_GB2312" w:cs="Times New Roman"/>
          <w:color w:val="auto"/>
          <w:sz w:val="32"/>
          <w:szCs w:val="32"/>
          <w:lang w:eastAsia="zh-CN"/>
        </w:rPr>
        <w:t>新疆维吾尔自治区</w:t>
      </w:r>
      <w:r>
        <w:rPr>
          <w:rFonts w:hint="default" w:ascii="Times New Roman" w:hAnsi="Times New Roman" w:eastAsia="仿宋_GB2312" w:cs="Times New Roman"/>
          <w:color w:val="auto"/>
          <w:sz w:val="32"/>
          <w:szCs w:val="32"/>
        </w:rPr>
        <w:t>农业机械购置补贴产品违规</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rPr>
        <w:t>行为处理</w:t>
      </w:r>
      <w:r>
        <w:rPr>
          <w:rFonts w:hint="default" w:ascii="Times New Roman" w:hAnsi="Times New Roman" w:eastAsia="仿宋_GB2312" w:cs="Times New Roman"/>
          <w:color w:val="auto"/>
          <w:sz w:val="32"/>
          <w:szCs w:val="32"/>
          <w:lang w:eastAsia="zh-CN"/>
        </w:rPr>
        <w:t>实施办法</w:t>
      </w:r>
      <w:r>
        <w:rPr>
          <w:rFonts w:hint="default" w:ascii="Times New Roman" w:hAnsi="Times New Roman" w:eastAsia="仿宋_GB2312" w:cs="Times New Roman"/>
          <w:color w:val="auto"/>
          <w:sz w:val="32"/>
          <w:szCs w:val="32"/>
        </w:rPr>
        <w:t>》等相关规定和要求处理。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、其他要求</w:t>
      </w:r>
    </w:p>
    <w:p>
      <w:pPr>
        <w:widowControl w:val="0"/>
        <w:wordWrap/>
        <w:overflowPunct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高度重视异常情形报告工作</w:t>
      </w:r>
      <w:r>
        <w:rPr>
          <w:rFonts w:hint="eastAsia"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widowControl w:val="0"/>
        <w:wordWrap/>
        <w:overflowPunct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增强突发异常情形的处置能力</w:t>
      </w:r>
      <w:r>
        <w:rPr>
          <w:rFonts w:hint="eastAsia"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重点关注关键环节的异常情形，全面梳理查找风险点，排查所有可能影响补贴政策规范实施的隐患和苗头，有针对性地制定防控措施。对于出现异常紧急情况应及时稳妥处理，确保补贴政策平稳有序实施。</w:t>
      </w:r>
    </w:p>
    <w:p>
      <w:pPr>
        <w:widowControl w:val="0"/>
        <w:wordWrap/>
        <w:overflowPunct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加强异常情形报告的主动性和时效性</w:t>
      </w:r>
      <w:r>
        <w:rPr>
          <w:rFonts w:hint="eastAsia"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地（州、市）</w:t>
      </w:r>
      <w:r>
        <w:rPr>
          <w:rFonts w:hint="default" w:ascii="Times New Roman" w:hAnsi="Times New Roman" w:eastAsia="仿宋_GB2312" w:cs="Times New Roman"/>
          <w:color w:val="auto"/>
          <w:sz w:val="32"/>
          <w:szCs w:val="32"/>
        </w:rPr>
        <w:t>农机行政主管部门要加强对所辖各县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农机购置补贴异常情形线索的调查、认定、处理、报告等工作的指导。对于可能涉及到全局性、系统性风险问题，及时采取措施并报告，防止问题扩大化。</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3779" w:firstLineChars="1181"/>
        <w:jc w:val="center"/>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自治区农业农村厅</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3779" w:firstLineChars="1181"/>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2021年10月2</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日</w:t>
      </w:r>
    </w:p>
    <w:p>
      <w:pPr>
        <w:keepNext w:val="0"/>
        <w:keepLines w:val="0"/>
        <w:pageBreakBefore w:val="0"/>
        <w:kinsoku/>
        <w:wordWrap/>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pacing w:val="0"/>
          <w:sz w:val="32"/>
          <w:szCs w:val="32"/>
          <w:lang w:val="en" w:eastAsia="zh-CN"/>
        </w:rPr>
      </w:pPr>
    </w:p>
    <w:p>
      <w:pPr>
        <w:jc w:val="center"/>
        <w:rPr>
          <w:rFonts w:hint="default" w:ascii="仿宋_GB2312" w:hAnsi="仿宋_GB2312" w:eastAsia="仿宋_GB2312" w:cs="仿宋_GB2312"/>
          <w:spacing w:val="0"/>
          <w:sz w:val="32"/>
          <w:szCs w:val="32"/>
          <w:lang w:val="en" w:eastAsia="zh-CN"/>
        </w:rPr>
      </w:pPr>
    </w:p>
    <w:p>
      <w:pPr>
        <w:jc w:val="center"/>
        <w:rPr>
          <w:rFonts w:hint="default" w:ascii="仿宋_GB2312" w:hAnsi="仿宋_GB2312" w:eastAsia="仿宋_GB2312" w:cs="仿宋_GB2312"/>
          <w:spacing w:val="0"/>
          <w:sz w:val="32"/>
          <w:szCs w:val="32"/>
          <w:lang w:val="en" w:eastAsia="zh-CN"/>
        </w:rPr>
      </w:pPr>
    </w:p>
    <w:p>
      <w:pPr>
        <w:jc w:val="center"/>
        <w:rPr>
          <w:rFonts w:hint="default" w:ascii="仿宋_GB2312" w:hAnsi="仿宋_GB2312" w:eastAsia="仿宋_GB2312" w:cs="仿宋_GB2312"/>
          <w:spacing w:val="0"/>
          <w:sz w:val="32"/>
          <w:szCs w:val="32"/>
          <w:lang w:val="en" w:eastAsia="zh-CN"/>
        </w:rPr>
      </w:pPr>
    </w:p>
    <w:p>
      <w:pPr>
        <w:jc w:val="center"/>
        <w:rPr>
          <w:rFonts w:hint="default" w:ascii="仿宋_GB2312" w:hAnsi="仿宋_GB2312" w:eastAsia="仿宋_GB2312" w:cs="仿宋_GB2312"/>
          <w:spacing w:val="0"/>
          <w:sz w:val="32"/>
          <w:szCs w:val="32"/>
          <w:lang w:val="en" w:eastAsia="zh-CN"/>
        </w:rPr>
      </w:pPr>
    </w:p>
    <w:p>
      <w:pPr>
        <w:jc w:val="center"/>
        <w:rPr>
          <w:rFonts w:hint="default" w:ascii="仿宋_GB2312" w:hAnsi="仿宋_GB2312" w:eastAsia="仿宋_GB2312" w:cs="仿宋_GB2312"/>
          <w:spacing w:val="0"/>
          <w:sz w:val="32"/>
          <w:szCs w:val="32"/>
          <w:lang w:val="en" w:eastAsia="zh-CN"/>
        </w:rP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40E9"/>
    <w:rsid w:val="0CCC2498"/>
    <w:rsid w:val="1EBE3377"/>
    <w:rsid w:val="24A65ABA"/>
    <w:rsid w:val="2604769B"/>
    <w:rsid w:val="2A0F6C42"/>
    <w:rsid w:val="2AF8122A"/>
    <w:rsid w:val="2D43603D"/>
    <w:rsid w:val="368A72C5"/>
    <w:rsid w:val="3C890E1B"/>
    <w:rsid w:val="3E1B0AD1"/>
    <w:rsid w:val="3FBF79ED"/>
    <w:rsid w:val="41167910"/>
    <w:rsid w:val="4BEB4CB6"/>
    <w:rsid w:val="4F3F59DB"/>
    <w:rsid w:val="51BB42B1"/>
    <w:rsid w:val="577FBA3F"/>
    <w:rsid w:val="67AF910E"/>
    <w:rsid w:val="6FB7B6F7"/>
    <w:rsid w:val="768D5178"/>
    <w:rsid w:val="76BD5D6F"/>
    <w:rsid w:val="77022664"/>
    <w:rsid w:val="7D6375FF"/>
    <w:rsid w:val="BB7EB447"/>
    <w:rsid w:val="DBD7DCBB"/>
    <w:rsid w:val="DFFE650C"/>
    <w:rsid w:val="EB7D7D71"/>
    <w:rsid w:val="FFA94568"/>
    <w:rsid w:val="FFDF023D"/>
    <w:rsid w:val="FFE3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Hyperlink"/>
    <w:basedOn w:val="8"/>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2021-07-09T10:27:00Z</dcterms:created>
  <dc:creator>Administrator</dc:creator>
  <cp:lastModifiedBy>买尔旦·木沙</cp:lastModifiedBy>
  <cp:lastPrinted>2021-10-28T16:33:00Z</cp:lastPrinted>
  <dcterms:modified xsi:type="dcterms:W3CDTF">2021-10-29T08:06:15Z</dcterms:modified>
  <dc:title>关于做好农机购置补贴异常情形报告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740C5054FFAA44F987C02D5CD0F72346</vt:lpwstr>
  </property>
</Properties>
</file>